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2286000</wp:posOffset>
            </wp:positionH>
            <wp:positionV relativeFrom="paragraph">
              <wp:posOffset>-685799</wp:posOffset>
            </wp:positionV>
            <wp:extent cx="892810" cy="93535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35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9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PANHELLENIC EXECUTIVE COUNCIL APPLICATION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following application and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send an electronic copy as well as a copy of your resume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</w:t>
      </w:r>
      <w:hyperlink r:id="rId7">
        <w:r w:rsidDel="00000000" w:rsidR="00000000" w:rsidRPr="00000000">
          <w:rPr>
            <w:rFonts w:ascii="Garamond" w:cs="Garamond" w:eastAsia="Garamond" w:hAnsi="Garamond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URPanhellenic@gmail.com</w:t>
        </w:r>
      </w:hyperlink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Sunday, November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8,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midnight.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Phone #: </w:t>
        <w:tab/>
        <w:tab/>
        <w:tab/>
        <w:tab/>
        <w:t xml:space="preserve">Abroad Cell Phone #: 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Sorority: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Years of Membership: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Anticipated # of academic units to be taken: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Spring 201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9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 xml:space="preserve">Fall 201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9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2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 ’1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8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Semester GPA: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Cumulative GPA: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*Applicants should have a cumulative GPA of at least 3.0 in order to be considered for a position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currently studying abroad?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rank the positions (1-6) in the order in which you are interested in them.  You will be considered for every position and will be placed where your capabilities and strengths will be best utilized. **If you list VP of Communication as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1 or 2, please include an example of previous graphic design work.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President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VP of Operations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VP of Recruitment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VP of Recruitment Education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VP of Programming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VP of Communication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reply to the following questions: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What is your perception of the role of Panhellenic within the Greek system at the University of Richmond? Why is it important?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Explain three benefits that you have gained by being an active member of your chapter that are specific to your unique experience.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As a Panhellenic Officer, there is the potential that an issue will arise concerning your sorority. Describe the way you anticipate being able to address a conflicting situation involving your chapter.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4. If you are elected as a Panhellenic Executive Officer, list additional time commitments would you have next year.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5. If your GPA is below a 3.0, please explain any extenuating circumstances.</w:t>
      </w:r>
    </w:p>
    <w:p w:rsidR="00000000" w:rsidDel="00000000" w:rsidP="00000000" w:rsidRDefault="00000000" w:rsidRPr="00000000" w14:paraId="00000026">
      <w:pPr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URPanhelleni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